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F4" w:rsidRDefault="007F29B5" w:rsidP="00EF04D8">
      <w:pPr>
        <w:ind w:left="360"/>
        <w:jc w:val="center"/>
      </w:pPr>
      <w:r w:rsidRPr="004772AD">
        <w:t xml:space="preserve">Information Security Assessment </w:t>
      </w:r>
      <w:r w:rsidR="00C046F4">
        <w:t>Overview</w:t>
      </w:r>
    </w:p>
    <w:p w:rsidR="00955ADF" w:rsidRPr="004772AD" w:rsidRDefault="007F29B5" w:rsidP="00C046F4">
      <w:pPr>
        <w:ind w:left="360"/>
      </w:pPr>
      <w:r w:rsidRPr="004772AD">
        <w:t>What is it?</w:t>
      </w:r>
    </w:p>
    <w:p w:rsidR="00955ADF" w:rsidRPr="004772AD" w:rsidRDefault="00EF04D8" w:rsidP="00C046F4">
      <w:pPr>
        <w:ind w:left="1080"/>
      </w:pPr>
      <w:r>
        <w:t>The Assessment is a</w:t>
      </w:r>
      <w:r w:rsidR="007F29B5" w:rsidRPr="004772AD">
        <w:t>n annual process through which the School CIOs and other senior IT leaders describe the School or unit status regarding University information security policy and related risk mitigation efforts.</w:t>
      </w:r>
    </w:p>
    <w:p w:rsidR="00955ADF" w:rsidRPr="004772AD" w:rsidRDefault="007F29B5" w:rsidP="00C046F4">
      <w:pPr>
        <w:ind w:left="360"/>
      </w:pPr>
      <w:r w:rsidRPr="004772AD">
        <w:t>How is it conducted?</w:t>
      </w:r>
    </w:p>
    <w:p w:rsidR="002C5BFB" w:rsidRDefault="002C5BFB" w:rsidP="00C046F4">
      <w:pPr>
        <w:ind w:left="1080"/>
      </w:pPr>
      <w:r>
        <w:t>The process has two phases:</w:t>
      </w:r>
    </w:p>
    <w:p w:rsidR="00955ADF" w:rsidRDefault="00C1660B" w:rsidP="002C5BFB">
      <w:pPr>
        <w:pStyle w:val="ListParagraph"/>
        <w:numPr>
          <w:ilvl w:val="0"/>
          <w:numId w:val="4"/>
        </w:numPr>
      </w:pPr>
      <w:r>
        <w:t xml:space="preserve">Assessment Data Collection - </w:t>
      </w:r>
      <w:r w:rsidR="002C5BFB">
        <w:t>in which</w:t>
      </w:r>
      <w:r>
        <w:t xml:space="preserve"> School CIOs and senior IT leaders respond </w:t>
      </w:r>
      <w:r w:rsidR="00E608BE">
        <w:t>to questions aligned with policy and provide a cover letter describing</w:t>
      </w:r>
      <w:r w:rsidR="007F29B5" w:rsidRPr="004772AD">
        <w:t xml:space="preserve"> their level of security assurance, disclose any gaps, and describe remediation plans. </w:t>
      </w:r>
    </w:p>
    <w:p w:rsidR="00A14490" w:rsidRDefault="00A14490" w:rsidP="00A14490">
      <w:pPr>
        <w:pStyle w:val="ListParagraph"/>
        <w:ind w:left="1440"/>
      </w:pPr>
    </w:p>
    <w:p w:rsidR="00E608BE" w:rsidRPr="004772AD" w:rsidRDefault="00E608BE" w:rsidP="002C5BFB">
      <w:pPr>
        <w:pStyle w:val="ListParagraph"/>
        <w:numPr>
          <w:ilvl w:val="0"/>
          <w:numId w:val="4"/>
        </w:numPr>
      </w:pPr>
      <w:r>
        <w:t>Assessment Review</w:t>
      </w:r>
      <w:r w:rsidR="00A14490">
        <w:t xml:space="preserve"> Meetings</w:t>
      </w:r>
      <w:r>
        <w:t xml:space="preserve"> – in which </w:t>
      </w:r>
      <w:r w:rsidR="00A14490">
        <w:t>the University CISO meets with the School CIOs and IT leaders to review the report and discuss remediation activities.</w:t>
      </w:r>
    </w:p>
    <w:p w:rsidR="00955ADF" w:rsidRDefault="007F29B5" w:rsidP="00C046F4">
      <w:pPr>
        <w:ind w:left="360"/>
      </w:pPr>
      <w:r w:rsidRPr="004772AD">
        <w:t>When are the reports due?</w:t>
      </w:r>
    </w:p>
    <w:p w:rsidR="00A14490" w:rsidRPr="004772AD" w:rsidRDefault="00A14490" w:rsidP="00A14490">
      <w:pPr>
        <w:pStyle w:val="ListParagraph"/>
        <w:numPr>
          <w:ilvl w:val="0"/>
          <w:numId w:val="5"/>
        </w:numPr>
      </w:pPr>
      <w:r>
        <w:t xml:space="preserve">The Assessment is sent to the Schools and major IT units in June and responses are requested in September. </w:t>
      </w:r>
    </w:p>
    <w:p w:rsidR="00955ADF" w:rsidRPr="004772AD" w:rsidRDefault="007F29B5" w:rsidP="00C046F4">
      <w:pPr>
        <w:ind w:left="360"/>
      </w:pPr>
      <w:r w:rsidRPr="004772AD">
        <w:t>W</w:t>
      </w:r>
      <w:r w:rsidR="00560439">
        <w:t>hy do we undertake this process</w:t>
      </w:r>
      <w:r w:rsidRPr="004772AD">
        <w:t>?</w:t>
      </w:r>
    </w:p>
    <w:p w:rsidR="00560439" w:rsidRDefault="00560439" w:rsidP="00560439">
      <w:pPr>
        <w:pStyle w:val="ListParagraph"/>
        <w:numPr>
          <w:ilvl w:val="0"/>
          <w:numId w:val="2"/>
        </w:numPr>
      </w:pPr>
      <w:r>
        <w:t>It helps us to u</w:t>
      </w:r>
      <w:r w:rsidR="007F29B5" w:rsidRPr="004772AD">
        <w:t xml:space="preserve">nderstand the security status of each School </w:t>
      </w:r>
    </w:p>
    <w:p w:rsidR="00560439" w:rsidRDefault="00560439" w:rsidP="00560439">
      <w:pPr>
        <w:pStyle w:val="ListParagraph"/>
        <w:numPr>
          <w:ilvl w:val="0"/>
          <w:numId w:val="2"/>
        </w:numPr>
      </w:pPr>
      <w:r>
        <w:t>It allows us to  id</w:t>
      </w:r>
      <w:r w:rsidR="007F29B5" w:rsidRPr="004772AD">
        <w:t xml:space="preserve">entify risk mitigation or policy implementation challenges </w:t>
      </w:r>
    </w:p>
    <w:p w:rsidR="005667AB" w:rsidRDefault="005667AB" w:rsidP="005667AB">
      <w:pPr>
        <w:pStyle w:val="ListParagraph"/>
        <w:numPr>
          <w:ilvl w:val="0"/>
          <w:numId w:val="2"/>
        </w:numPr>
      </w:pPr>
      <w:r>
        <w:t>It supports a</w:t>
      </w:r>
      <w:r w:rsidR="007F29B5" w:rsidRPr="004772AD">
        <w:t xml:space="preserve"> University level </w:t>
      </w:r>
      <w:r w:rsidR="002876C5">
        <w:t>status report for</w:t>
      </w:r>
      <w:r w:rsidR="007F29B5" w:rsidRPr="004772AD">
        <w:t xml:space="preserve"> </w:t>
      </w:r>
      <w:r w:rsidR="002876C5">
        <w:t xml:space="preserve">the </w:t>
      </w:r>
      <w:r w:rsidR="007F29B5" w:rsidRPr="004772AD">
        <w:t>U</w:t>
      </w:r>
      <w:r w:rsidR="002876C5">
        <w:t xml:space="preserve">niversity </w:t>
      </w:r>
      <w:r w:rsidR="007F29B5" w:rsidRPr="004772AD">
        <w:t xml:space="preserve">CIO and </w:t>
      </w:r>
      <w:r w:rsidR="002876C5">
        <w:t xml:space="preserve">the </w:t>
      </w:r>
      <w:r w:rsidR="007F29B5" w:rsidRPr="004772AD">
        <w:t>U</w:t>
      </w:r>
      <w:r w:rsidR="002876C5">
        <w:t xml:space="preserve">niversity </w:t>
      </w:r>
      <w:r w:rsidR="007F29B5" w:rsidRPr="004772AD">
        <w:t>R</w:t>
      </w:r>
      <w:r w:rsidR="002876C5">
        <w:t xml:space="preserve">isk </w:t>
      </w:r>
      <w:r w:rsidR="007F29B5" w:rsidRPr="004772AD">
        <w:t>M</w:t>
      </w:r>
      <w:r w:rsidR="002876C5">
        <w:t xml:space="preserve">anagement </w:t>
      </w:r>
      <w:r w:rsidR="007F29B5" w:rsidRPr="004772AD">
        <w:t>C</w:t>
      </w:r>
      <w:r w:rsidR="002876C5">
        <w:t>ommittee</w:t>
      </w:r>
      <w:r w:rsidR="00A226F3">
        <w:t xml:space="preserve"> </w:t>
      </w:r>
    </w:p>
    <w:p w:rsidR="00955ADF" w:rsidRPr="004772AD" w:rsidRDefault="005667AB" w:rsidP="005667AB">
      <w:pPr>
        <w:pStyle w:val="ListParagraph"/>
        <w:numPr>
          <w:ilvl w:val="0"/>
          <w:numId w:val="2"/>
        </w:numPr>
      </w:pPr>
      <w:r>
        <w:t>It p</w:t>
      </w:r>
      <w:r w:rsidR="007F29B5" w:rsidRPr="004772AD">
        <w:t>rovide</w:t>
      </w:r>
      <w:r>
        <w:t>s</w:t>
      </w:r>
      <w:r w:rsidR="007F29B5" w:rsidRPr="004772AD">
        <w:t xml:space="preserve"> input to School and University Risk Management process</w:t>
      </w:r>
    </w:p>
    <w:p w:rsidR="00227574" w:rsidRDefault="00227574">
      <w:r>
        <w:br w:type="page"/>
      </w:r>
    </w:p>
    <w:p w:rsidR="005667AB" w:rsidRDefault="005667AB" w:rsidP="00227574"/>
    <w:p w:rsidR="00DE1611" w:rsidRDefault="007F29B5" w:rsidP="0089276A">
      <w:pPr>
        <w:ind w:left="1080"/>
      </w:pPr>
      <w:r w:rsidRPr="004772AD">
        <w:t>Inf</w:t>
      </w:r>
      <w:r w:rsidR="00DE1611">
        <w:t xml:space="preserve">ormation Security Assessment - Annual </w:t>
      </w:r>
      <w:r w:rsidR="005667AB">
        <w:t>Timeline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68"/>
        <w:gridCol w:w="3690"/>
        <w:gridCol w:w="4158"/>
      </w:tblGrid>
      <w:tr w:rsidR="0089276A" w:rsidTr="003C2D43">
        <w:tc>
          <w:tcPr>
            <w:tcW w:w="1368" w:type="dxa"/>
          </w:tcPr>
          <w:p w:rsidR="00DE1611" w:rsidRPr="00DE1611" w:rsidRDefault="00DE1611" w:rsidP="00DE16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Month</w:t>
            </w:r>
          </w:p>
        </w:tc>
        <w:tc>
          <w:tcPr>
            <w:tcW w:w="3690" w:type="dxa"/>
          </w:tcPr>
          <w:p w:rsidR="00DE1611" w:rsidRPr="00DE1611" w:rsidRDefault="00DE1611" w:rsidP="00DE16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Activity</w:t>
            </w:r>
          </w:p>
        </w:tc>
        <w:tc>
          <w:tcPr>
            <w:tcW w:w="4158" w:type="dxa"/>
          </w:tcPr>
          <w:p w:rsidR="00DE1611" w:rsidRPr="00DE1611" w:rsidRDefault="0089276A" w:rsidP="008927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Detail</w:t>
            </w:r>
          </w:p>
        </w:tc>
      </w:tr>
      <w:tr w:rsidR="0089276A" w:rsidTr="003C2D43">
        <w:tc>
          <w:tcPr>
            <w:tcW w:w="1368" w:type="dxa"/>
          </w:tcPr>
          <w:p w:rsidR="00DE1611" w:rsidRDefault="00E241A4" w:rsidP="00C046F4">
            <w:r>
              <w:t>June</w:t>
            </w:r>
          </w:p>
        </w:tc>
        <w:tc>
          <w:tcPr>
            <w:tcW w:w="3690" w:type="dxa"/>
          </w:tcPr>
          <w:p w:rsidR="00DE1611" w:rsidRDefault="0089276A" w:rsidP="00441B56">
            <w:r w:rsidRPr="004772AD">
              <w:t xml:space="preserve">CISO sends </w:t>
            </w:r>
            <w:r>
              <w:t xml:space="preserve">Assessment </w:t>
            </w:r>
            <w:r w:rsidRPr="004772AD">
              <w:t xml:space="preserve"> to CIOs </w:t>
            </w:r>
          </w:p>
        </w:tc>
        <w:tc>
          <w:tcPr>
            <w:tcW w:w="4158" w:type="dxa"/>
          </w:tcPr>
          <w:p w:rsidR="00DE1611" w:rsidRDefault="004F48D5" w:rsidP="00C046F4">
            <w:r>
              <w:t xml:space="preserve">Assessment includes template for cover letter and </w:t>
            </w:r>
            <w:r w:rsidR="00441B56">
              <w:t>set of questions keyed to Requirements</w:t>
            </w:r>
          </w:p>
        </w:tc>
      </w:tr>
      <w:tr w:rsidR="0089276A" w:rsidTr="003C2D43">
        <w:tc>
          <w:tcPr>
            <w:tcW w:w="1368" w:type="dxa"/>
          </w:tcPr>
          <w:p w:rsidR="00DE1611" w:rsidRDefault="002E1452" w:rsidP="00C046F4">
            <w:r>
              <w:t>June</w:t>
            </w:r>
          </w:p>
        </w:tc>
        <w:tc>
          <w:tcPr>
            <w:tcW w:w="3690" w:type="dxa"/>
          </w:tcPr>
          <w:p w:rsidR="00DE1611" w:rsidRDefault="00441B56" w:rsidP="00C046F4">
            <w:r>
              <w:t>CISO sends Assessment to HUIT MD’s</w:t>
            </w:r>
          </w:p>
        </w:tc>
        <w:tc>
          <w:tcPr>
            <w:tcW w:w="4158" w:type="dxa"/>
          </w:tcPr>
          <w:p w:rsidR="00DE1611" w:rsidRDefault="00441B56" w:rsidP="00C046F4">
            <w:r>
              <w:t>Units with c</w:t>
            </w:r>
            <w:r w:rsidRPr="004772AD">
              <w:t>omplex, strategic, or critical University IT (e.g. enterprise systems) responsibilities provide sub-unit or practice-specific responses</w:t>
            </w:r>
          </w:p>
        </w:tc>
      </w:tr>
      <w:tr w:rsidR="0089276A" w:rsidTr="003C2D43">
        <w:tc>
          <w:tcPr>
            <w:tcW w:w="1368" w:type="dxa"/>
          </w:tcPr>
          <w:p w:rsidR="00DE1611" w:rsidRDefault="00E241A4" w:rsidP="00C046F4">
            <w:r>
              <w:t>July-August</w:t>
            </w:r>
          </w:p>
        </w:tc>
        <w:tc>
          <w:tcPr>
            <w:tcW w:w="3690" w:type="dxa"/>
          </w:tcPr>
          <w:p w:rsidR="00DE1611" w:rsidRDefault="00494615" w:rsidP="00C046F4">
            <w:r w:rsidRPr="004772AD">
              <w:t>CISO offers office hours to discuss process and answer questions</w:t>
            </w:r>
          </w:p>
        </w:tc>
        <w:tc>
          <w:tcPr>
            <w:tcW w:w="4158" w:type="dxa"/>
          </w:tcPr>
          <w:p w:rsidR="00DE1611" w:rsidRDefault="00494615" w:rsidP="00C046F4">
            <w:r w:rsidRPr="004772AD">
              <w:t>School security officers and others who contribute to the responses are invited</w:t>
            </w:r>
          </w:p>
        </w:tc>
      </w:tr>
      <w:tr w:rsidR="0089276A" w:rsidTr="003C2D43">
        <w:tc>
          <w:tcPr>
            <w:tcW w:w="1368" w:type="dxa"/>
          </w:tcPr>
          <w:p w:rsidR="00DE1611" w:rsidRDefault="003C2D43" w:rsidP="00C046F4">
            <w:r>
              <w:t>September</w:t>
            </w:r>
          </w:p>
        </w:tc>
        <w:tc>
          <w:tcPr>
            <w:tcW w:w="3690" w:type="dxa"/>
          </w:tcPr>
          <w:p w:rsidR="00DE1611" w:rsidRDefault="00494615" w:rsidP="00C046F4">
            <w:r w:rsidRPr="004772AD">
              <w:t>School</w:t>
            </w:r>
            <w:r w:rsidR="003C2D43">
              <w:t>, Central,</w:t>
            </w:r>
            <w:r w:rsidRPr="004772AD">
              <w:t xml:space="preserve"> </w:t>
            </w:r>
            <w:r w:rsidR="003C2D43">
              <w:t xml:space="preserve">and HUIT </w:t>
            </w:r>
            <w:r w:rsidRPr="004772AD">
              <w:t>reports due</w:t>
            </w:r>
          </w:p>
        </w:tc>
        <w:tc>
          <w:tcPr>
            <w:tcW w:w="4158" w:type="dxa"/>
          </w:tcPr>
          <w:p w:rsidR="00DE1611" w:rsidRDefault="00DE1611" w:rsidP="00C046F4"/>
        </w:tc>
      </w:tr>
      <w:tr w:rsidR="00494615" w:rsidTr="003C2D43">
        <w:tc>
          <w:tcPr>
            <w:tcW w:w="1368" w:type="dxa"/>
          </w:tcPr>
          <w:p w:rsidR="00494615" w:rsidRPr="004772AD" w:rsidRDefault="003C2D43" w:rsidP="00C046F4">
            <w:r>
              <w:t>September</w:t>
            </w:r>
          </w:p>
        </w:tc>
        <w:tc>
          <w:tcPr>
            <w:tcW w:w="3690" w:type="dxa"/>
          </w:tcPr>
          <w:p w:rsidR="00494615" w:rsidRPr="004772AD" w:rsidRDefault="00BA1429" w:rsidP="00227574">
            <w:pPr>
              <w:spacing w:after="200" w:line="276" w:lineRule="auto"/>
            </w:pPr>
            <w:r w:rsidRPr="004772AD">
              <w:t xml:space="preserve">CISO reviews </w:t>
            </w:r>
            <w:r>
              <w:t xml:space="preserve">all data </w:t>
            </w:r>
            <w:r w:rsidRPr="004772AD">
              <w:t>and deve</w:t>
            </w:r>
            <w:r w:rsidR="002E1452">
              <w:t>lops School, University reports</w:t>
            </w:r>
          </w:p>
        </w:tc>
        <w:tc>
          <w:tcPr>
            <w:tcW w:w="4158" w:type="dxa"/>
          </w:tcPr>
          <w:p w:rsidR="00494615" w:rsidRDefault="00BA1429" w:rsidP="00227574">
            <w:pPr>
              <w:spacing w:after="200" w:line="276" w:lineRule="auto"/>
            </w:pPr>
            <w:r>
              <w:t>School reports</w:t>
            </w:r>
            <w:r w:rsidRPr="004772AD">
              <w:t xml:space="preserve"> include additional detail regarding risk and vulnerability statistics</w:t>
            </w:r>
          </w:p>
        </w:tc>
      </w:tr>
      <w:tr w:rsidR="002C4AB2" w:rsidTr="003C2D43">
        <w:tc>
          <w:tcPr>
            <w:tcW w:w="1368" w:type="dxa"/>
          </w:tcPr>
          <w:p w:rsidR="002C4AB2" w:rsidRDefault="00FA6E14" w:rsidP="00C046F4">
            <w:r>
              <w:t>October-November</w:t>
            </w:r>
          </w:p>
        </w:tc>
        <w:tc>
          <w:tcPr>
            <w:tcW w:w="3690" w:type="dxa"/>
          </w:tcPr>
          <w:p w:rsidR="002C4AB2" w:rsidRPr="004772AD" w:rsidRDefault="002C4AB2" w:rsidP="00FA6E14">
            <w:pPr>
              <w:spacing w:after="200" w:line="276" w:lineRule="auto"/>
            </w:pPr>
            <w:r w:rsidRPr="004772AD">
              <w:t xml:space="preserve">CISO meets with each School </w:t>
            </w:r>
            <w:r w:rsidR="00FA6E14">
              <w:t>CIO and security officer</w:t>
            </w:r>
          </w:p>
        </w:tc>
        <w:tc>
          <w:tcPr>
            <w:tcW w:w="4158" w:type="dxa"/>
          </w:tcPr>
          <w:p w:rsidR="002C4AB2" w:rsidRDefault="002C4AB2" w:rsidP="00227574">
            <w:pPr>
              <w:spacing w:after="200" w:line="276" w:lineRule="auto"/>
            </w:pPr>
            <w:r>
              <w:t>Discuss progress</w:t>
            </w:r>
            <w:r w:rsidRPr="004772AD">
              <w:t xml:space="preserve"> and develop mitigation plan ba</w:t>
            </w:r>
            <w:r w:rsidR="00227574">
              <w:t>s</w:t>
            </w:r>
            <w:r w:rsidRPr="004772AD">
              <w:t>ed on remaining risk</w:t>
            </w:r>
          </w:p>
        </w:tc>
      </w:tr>
      <w:tr w:rsidR="003C2D43" w:rsidTr="003C2D43">
        <w:tc>
          <w:tcPr>
            <w:tcW w:w="1368" w:type="dxa"/>
          </w:tcPr>
          <w:p w:rsidR="003C2D43" w:rsidRDefault="003C2D43" w:rsidP="00FB6C30">
            <w:r>
              <w:t>November</w:t>
            </w:r>
          </w:p>
        </w:tc>
        <w:tc>
          <w:tcPr>
            <w:tcW w:w="3690" w:type="dxa"/>
          </w:tcPr>
          <w:p w:rsidR="003C2D43" w:rsidRPr="004772AD" w:rsidRDefault="003C2D43" w:rsidP="00FB6C30">
            <w:r w:rsidRPr="004772AD">
              <w:t>CISO rev</w:t>
            </w:r>
            <w:r>
              <w:t>iews University level report with UCIO and CIO Council</w:t>
            </w:r>
            <w:bookmarkStart w:id="0" w:name="_GoBack"/>
            <w:bookmarkEnd w:id="0"/>
          </w:p>
        </w:tc>
        <w:tc>
          <w:tcPr>
            <w:tcW w:w="4158" w:type="dxa"/>
          </w:tcPr>
          <w:p w:rsidR="003C2D43" w:rsidRDefault="003C2D43" w:rsidP="00FB6C30"/>
        </w:tc>
      </w:tr>
    </w:tbl>
    <w:p w:rsidR="00955ADF" w:rsidRPr="004772AD" w:rsidRDefault="00955ADF" w:rsidP="00BA1429"/>
    <w:p w:rsidR="00955ADF" w:rsidRPr="004772AD" w:rsidRDefault="00955ADF" w:rsidP="00C046F4">
      <w:pPr>
        <w:ind w:left="360"/>
      </w:pPr>
    </w:p>
    <w:p w:rsidR="00F97A06" w:rsidRDefault="002E1452" w:rsidP="00C046F4"/>
    <w:sectPr w:rsidR="00F9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EE3"/>
    <w:multiLevelType w:val="hybridMultilevel"/>
    <w:tmpl w:val="6E4830B0"/>
    <w:lvl w:ilvl="0" w:tplc="DCBA6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B1264"/>
    <w:multiLevelType w:val="hybridMultilevel"/>
    <w:tmpl w:val="9050F60E"/>
    <w:lvl w:ilvl="0" w:tplc="F32A3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8C2253"/>
    <w:multiLevelType w:val="hybridMultilevel"/>
    <w:tmpl w:val="7F823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95629BA"/>
    <w:multiLevelType w:val="hybridMultilevel"/>
    <w:tmpl w:val="F2809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3E2158"/>
    <w:multiLevelType w:val="hybridMultilevel"/>
    <w:tmpl w:val="AA9E22BE"/>
    <w:lvl w:ilvl="0" w:tplc="49220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09E0C">
      <w:start w:val="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C2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AA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AC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C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8E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80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6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AD"/>
    <w:rsid w:val="00227574"/>
    <w:rsid w:val="002876C5"/>
    <w:rsid w:val="002C4AB2"/>
    <w:rsid w:val="002C5BFB"/>
    <w:rsid w:val="002E1452"/>
    <w:rsid w:val="003C2D43"/>
    <w:rsid w:val="00441B56"/>
    <w:rsid w:val="004772AD"/>
    <w:rsid w:val="00494615"/>
    <w:rsid w:val="004A0665"/>
    <w:rsid w:val="004A59DA"/>
    <w:rsid w:val="004F48D5"/>
    <w:rsid w:val="00560439"/>
    <w:rsid w:val="005667AB"/>
    <w:rsid w:val="00636DDC"/>
    <w:rsid w:val="007F29B5"/>
    <w:rsid w:val="0089276A"/>
    <w:rsid w:val="00955ADF"/>
    <w:rsid w:val="00A14490"/>
    <w:rsid w:val="00A226F3"/>
    <w:rsid w:val="00BA1429"/>
    <w:rsid w:val="00C046F4"/>
    <w:rsid w:val="00C1660B"/>
    <w:rsid w:val="00DE1611"/>
    <w:rsid w:val="00E241A4"/>
    <w:rsid w:val="00E608BE"/>
    <w:rsid w:val="00EF04D8"/>
    <w:rsid w:val="00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39"/>
    <w:pPr>
      <w:ind w:left="720"/>
      <w:contextualSpacing/>
    </w:pPr>
  </w:style>
  <w:style w:type="table" w:styleId="TableGrid">
    <w:name w:val="Table Grid"/>
    <w:basedOn w:val="TableNormal"/>
    <w:uiPriority w:val="59"/>
    <w:rsid w:val="00DE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39"/>
    <w:pPr>
      <w:ind w:left="720"/>
      <w:contextualSpacing/>
    </w:pPr>
  </w:style>
  <w:style w:type="table" w:styleId="TableGrid">
    <w:name w:val="Table Grid"/>
    <w:basedOn w:val="TableNormal"/>
    <w:uiPriority w:val="59"/>
    <w:rsid w:val="00DE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165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358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942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193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925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542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466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82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851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809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913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450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23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644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652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923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081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821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287">
          <w:marLeft w:val="1080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596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656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516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927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230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219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368">
          <w:marLeft w:val="126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515">
          <w:marLeft w:val="126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499">
          <w:marLeft w:val="126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817">
          <w:marLeft w:val="126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558">
          <w:marLeft w:val="36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45">
          <w:marLeft w:val="126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796">
          <w:marLeft w:val="126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ete128</dc:creator>
  <cp:lastModifiedBy>ete128</cp:lastModifiedBy>
  <cp:revision>2</cp:revision>
  <dcterms:created xsi:type="dcterms:W3CDTF">2015-06-10T19:39:00Z</dcterms:created>
  <dcterms:modified xsi:type="dcterms:W3CDTF">2015-06-10T19:39:00Z</dcterms:modified>
</cp:coreProperties>
</file>